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left"/>
        <w:rPr>
          <w:rFonts w:ascii="Arial" w:hAnsi="Arial" w:cs="Arial" w:eastAsia="Arial"/>
          <w:color w:val="000000"/>
          <w:spacing w:val="0"/>
          <w:position w:val="0"/>
          <w:sz w:val="26"/>
          <w:shd w:fill="auto" w:val="clear"/>
        </w:rPr>
      </w:pPr>
    </w:p>
    <w:p>
      <w:pPr>
        <w:spacing w:before="0" w:after="200" w:line="480"/>
        <w:ind w:right="0" w:left="0" w:firstLine="0"/>
        <w:jc w:val="center"/>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INTRODUCTION</w:t>
      </w:r>
    </w:p>
    <w:p>
      <w:pPr>
        <w:spacing w:before="0" w:after="200" w:line="480"/>
        <w:ind w:right="0" w:left="0" w:firstLine="0"/>
        <w:jc w:val="center"/>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JEWS RESCUED JEWS DURING THE HOLOCAUST</w:t>
      </w:r>
    </w:p>
    <w:p>
      <w:pPr>
        <w:spacing w:before="0" w:after="200" w:line="480"/>
        <w:ind w:right="0" w:left="0" w:firstLine="0"/>
        <w:jc w:val="left"/>
        <w:rPr>
          <w:rFonts w:ascii="Calibri" w:hAnsi="Calibri" w:cs="Calibri" w:eastAsia="Calibri"/>
          <w:color w:val="auto"/>
          <w:spacing w:val="0"/>
          <w:position w:val="0"/>
          <w:sz w:val="22"/>
          <w:shd w:fill="auto" w:val="clear"/>
        </w:rPr>
      </w:pPr>
    </w:p>
    <w:p>
      <w:pPr>
        <w:spacing w:before="0" w:after="200" w:line="48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phenomenon of Jews rescuing Jews during the Holocaust was just as widespread, but not as well-known as the related event of Gentiles coming to the Jews’ rescue. When Jews realized that the hate campaign they were subjected to was materializing into what later became known as Genocide or Holocaust and Shoa, the Jews started a self-rescue campaign which included emigration, protection by means of forged documents, and inducement of officials in their countries to desist from Nazi collaboration. The emigration movement started in the country where persecution of Jews took its inception in the early thirties: Germany. German Jews immigrated to Palestine, to other European countries, the US, and South American in large percentages. Those who couldn’t obtain visas or “certificates” or who simply didn’t have the money to leave were desperate to have at least their children escape the cruel fate. The famous </w:t>
      </w:r>
      <w:r>
        <w:rPr>
          <w:rFonts w:ascii="Calibri" w:hAnsi="Calibri" w:cs="Calibri" w:eastAsia="Calibri"/>
          <w:i/>
          <w:color w:val="auto"/>
          <w:spacing w:val="0"/>
          <w:position w:val="0"/>
          <w:sz w:val="22"/>
          <w:shd w:fill="auto" w:val="clear"/>
        </w:rPr>
        <w:t xml:space="preserve">Kindertransport, </w:t>
      </w:r>
      <w:r>
        <w:rPr>
          <w:rFonts w:ascii="Calibri" w:hAnsi="Calibri" w:cs="Calibri" w:eastAsia="Calibri"/>
          <w:color w:val="auto"/>
          <w:spacing w:val="0"/>
          <w:position w:val="0"/>
          <w:sz w:val="22"/>
          <w:shd w:fill="auto" w:val="clear"/>
        </w:rPr>
        <w:t xml:space="preserve">initiated by the Dutch Gertrude Wijsmuller in 1938, took more than 10,000 Jewish children from Germany, Austria and Czechoslovakia to England where they survived the war. Mrs. Recha Freier, who worked out of Germany and founded Youth Aliya, also helped sending hundreds of children to England. Mrs. Wijsmuller was awarded the title of Righteous Gentile, conferred on her by Yad Vashem, but her Jewish counterparts, which included Recha Freier, Wilfrid Israel and Nicholas Winton, were never honored in a similar fashion. </w:t>
      </w:r>
    </w:p>
    <w:p>
      <w:pPr>
        <w:spacing w:before="0" w:after="200" w:line="48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many instances of Jewish rescue, self-rescue and rescue of others, at times total strangers, are many, various, inspiring and sometimes mind boggling. They range from organized Jewish rescue based on an existing infrastructure as in France to inspired and daring activity as in the family camps in Russia, to the bribery of officials in Slovakia by Gisi Fleischmann and Rabbi Dov Weismandl, to the Zionist youth movement (religious and secular) rescue in many places, notably Budapest, but also in the Netherlands. They range from the rescue of thousands to the rescue of single individuals. It has to be remembered that if there were Jews alive at all after the Holocaust, it was just as much thanks to other Jews as to non-Jews. The “as sheep to the slaughter” premise is an erroneous one whose refutation is only slowly evolving. Jews struggled valiantly to “remain physically, intellectually, culturally, morally and theologically alive” (Patrick Henry, editor, </w:t>
      </w:r>
      <w:r>
        <w:rPr>
          <w:rFonts w:ascii="Calibri" w:hAnsi="Calibri" w:cs="Calibri" w:eastAsia="Calibri"/>
          <w:i/>
          <w:color w:val="auto"/>
          <w:spacing w:val="0"/>
          <w:position w:val="0"/>
          <w:sz w:val="22"/>
          <w:shd w:fill="auto" w:val="clear"/>
        </w:rPr>
        <w:t xml:space="preserve">Jewish Resistance to the Nazis</w:t>
      </w:r>
      <w:r>
        <w:rPr>
          <w:rFonts w:ascii="Calibri" w:hAnsi="Calibri" w:cs="Calibri" w:eastAsia="Calibri"/>
          <w:color w:val="auto"/>
          <w:spacing w:val="0"/>
          <w:position w:val="0"/>
          <w:sz w:val="22"/>
          <w:shd w:fill="auto" w:val="clear"/>
        </w:rPr>
        <w:t xml:space="preserve">, to be published, Summer 2012) The Committee on Jews Rescuing  Jews (CJRJ) was founded to document, publicize, and otherwise spread the word about the deeds of these unsung Jewish heroes of whom too little is known among the public in Israel and elsewhere. </w:t>
      </w:r>
    </w:p>
    <w:p>
      <w:pPr>
        <w:spacing w:before="0" w:after="200" w:line="360"/>
        <w:ind w:right="0" w:left="0" w:firstLine="0"/>
        <w:jc w:val="center"/>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GEOGRAPHICAL DIFFERENCES</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phenomenon of Jewish rescue is widespread and covers all countries under German occupation. The differences between countries lie in the type of occupation (civil, military or a combination of the two), the latent anti-Semitism present before occupation, Jewish organized life before 1940, and the like. Nevertheless, statistics tell us that attributes such as democracy, western liberal regimes, or Protestant versus Catholic do not corroborate time-honored assumptions. Each country in Europe had its own specific combination of factors resulting in different  impacts of the Nazi “final solution” plot. </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now look at some “stories” of individuals from different countries who will serve as paradigms for the whole rescue initiative where Jews were actively involved. Even though these are personal histories, the individuals in question are linked to organizations which are linked to other organizations and thus form a network of rescue. The following story of Josef Indig, of Zagreb, Recha Freier, of Berlin, and two Catholic clerics from Italy shows the interconnectedness of men and women of moral stature transcending national and religious borders.</w:t>
      </w:r>
    </w:p>
    <w:p>
      <w:pPr>
        <w:spacing w:before="0" w:after="200" w:line="36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RECHA FREIER, GERMANY  AND JOSEF INDIG, YUGOSLAVIA </w:t>
      </w:r>
    </w:p>
    <w:p>
      <w:pPr>
        <w:spacing w:before="0" w:after="200" w:line="276"/>
        <w:ind w:right="0" w:left="0" w:firstLine="0"/>
        <w:jc w:val="both"/>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In the summer of 1932, Recha Freier, a Berlin rabbi’s wife and social activist, was made aware of how anti-Semitism affected the lives of Jewish adolescents of Eastern European as well as German background. She decided the solution was to bring these youngsters to Palestine. Thus Recha Freier</w:t>
      </w:r>
      <w:r>
        <w:rPr>
          <w:rFonts w:ascii="Calibri" w:hAnsi="Calibri" w:cs="Calibri" w:eastAsia="Calibri"/>
          <w:b/>
          <w: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founded the </w:t>
      </w:r>
      <w:r>
        <w:rPr>
          <w:rFonts w:ascii="Calibri" w:hAnsi="Calibri" w:cs="Calibri" w:eastAsia="Calibri"/>
          <w:b/>
          <w:i/>
          <w:color w:val="auto"/>
          <w:spacing w:val="0"/>
          <w:position w:val="0"/>
          <w:sz w:val="22"/>
          <w:shd w:fill="auto" w:val="clear"/>
        </w:rPr>
        <w:t xml:space="preserve">Aliyat Hanoar</w:t>
      </w:r>
      <w:r>
        <w:rPr>
          <w:rFonts w:ascii="Calibri" w:hAnsi="Calibri" w:cs="Calibri" w:eastAsia="Calibri"/>
          <w: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b/>
          <w:i/>
          <w:color w:val="auto"/>
          <w:spacing w:val="0"/>
          <w:position w:val="0"/>
          <w:sz w:val="22"/>
          <w:shd w:fill="auto" w:val="clear"/>
        </w:rPr>
        <w:t xml:space="preserve">Youth Aliyah</w:t>
      </w:r>
      <w:r>
        <w:rPr>
          <w:rFonts w:ascii="Calibri" w:hAnsi="Calibri" w:cs="Calibri" w:eastAsia="Calibri"/>
          <w:color w:val="auto"/>
          <w:spacing w:val="0"/>
          <w:position w:val="0"/>
          <w:sz w:val="22"/>
          <w:shd w:fill="auto" w:val="clear"/>
        </w:rPr>
        <w:t xml:space="preserve">), still functioning today. Her vision and astute foresight was to develop into a substantial rescue operation for Jewish youth in the whole of Europe. Up until September 1939, the outbreak of WWII, some 5,000 youngsters had emigrated from Germany and neighboring countries to Palestine.</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end of 1940, Recha Freier spirited a group of some 120 children of Polish origin who were at risk of being sent to concentration camps out of Germany to Yugoslavia in a heroic rescue operation. Before their flight they were stranded in Berlin, Frankfurt am-Main, Leipzig, and Vienna; after this it was no longer possible for Jews to get out of Germany. When the Germans invaded Yugoslavia, in April, 1941, Recha Freier, her 11-year old daughter and ninety children with British certificates left by train and reached Palestine after a long and arduous journey. </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Zagreb, the children who did not leave for Palestine were housed with local Jewish families and the group grew. Joseph Ithai  Indig, born in 1917 in Osijek, Croatia, where his father was the cantor in the synagogue, belonged to the Ha-Shomer Hatsair leadership in Zagreb. He stayed with the thirty remaining children and solemnly swore he would bring them to Palestine eventually. In the meantime he had to save their lives again. In addition to the children who had escaped from Germany with Recha and had not left for Palestine, there was another group of Jewish children from different parts of Eastern Europe and thirteen youngsters from Yugoslavia, altogether seventy-four children. (Martin Gilbert, </w:t>
      </w:r>
      <w:r>
        <w:rPr>
          <w:rFonts w:ascii="Calibri" w:hAnsi="Calibri" w:cs="Calibri" w:eastAsia="Calibri"/>
          <w:i/>
          <w:color w:val="auto"/>
          <w:spacing w:val="0"/>
          <w:position w:val="0"/>
          <w:sz w:val="22"/>
          <w:shd w:fill="auto" w:val="clear"/>
        </w:rPr>
        <w:t xml:space="preserve">The Righteous,</w:t>
      </w:r>
      <w:r>
        <w:rPr>
          <w:rFonts w:ascii="Calibri" w:hAnsi="Calibri" w:cs="Calibri" w:eastAsia="Calibri"/>
          <w:color w:val="auto"/>
          <w:spacing w:val="0"/>
          <w:position w:val="0"/>
          <w:sz w:val="22"/>
          <w:shd w:fill="auto" w:val="clear"/>
        </w:rPr>
        <w:t xml:space="preserve"> Black Swan edition, 2003, p. 433).</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group reached Italy by the last train to leave Yugoslavia on 17 July, 1941. In 1942/43 this group spent a year in Villa Emma, a large house in Nonantola, Italy, (located north-east of the city of Modena) which became the place of refuge for seventy-four Jewish children and their guardians. The one-year respite they got in this pastoral environment finally offered Josef Indig a chance to give them some education and arrange their daily life in a quiet, more settled way. In 1943, after the German occupation of Italy, Indig had to find a new solution for his charges. He decided to try to take them across the border to Switzerland. As if by a miracle, the flight to Switzerland was successful and here they stayed until the end of the war. In 1945, Ithai was able to take his charges to Palestine. Almost all of them had survived the war.</w:t>
      </w:r>
    </w:p>
    <w:p>
      <w:pPr>
        <w:spacing w:before="0" w:after="200"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Ithai was only twenty-three years old when he took charge of the children. He, along with two adults accompanying the children, was planning to take them to the British Mandate of Palestine, the land that was to become the state of Israel. But, almost as soon as they arrived in Yugoslavia, the country was occupied by German and Italian troops. Travel to Palestine was not possible.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Ithai and the children were in the city of Zagreb in the German zone and Jews were being arrested.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"You see, Hitler is chasing us again and one day he'll catch us," one of the boys said to Ithai. The young teacher knew he was right; the children were in danger. He knew he had to get the children out of Zagreb as quickly as possible.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"Bring them into the Italian zone," an Italian official told him. "We are Hitler's allies but we do not persecute Jews." The official arranged for Ithai to take the children to the province of Lubiana in the Italian zone. The Italian Jewish Relief Organization gave Ithai money to rent an old castle — the Lesno Brdo. The children settled into the old castle and the relief looked after them. Ithai was able to buy food and other necessities and he felt confident that the children were safe.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One year after they had been living in the</w:t>
      </w:r>
      <w:r>
        <w:rPr>
          <w:rFonts w:ascii="Times New Roman" w:hAnsi="Times New Roman" w:cs="Times New Roman" w:eastAsia="Times New Roman"/>
          <w:color w:val="auto"/>
          <w:spacing w:val="0"/>
          <w:position w:val="0"/>
          <w:sz w:val="24"/>
          <w:shd w:fill="auto" w:val="clear"/>
        </w:rPr>
        <w:t xml:space="preserve"> </w:t>
      </w:r>
      <w:r>
        <w:rPr>
          <w:rFonts w:ascii="Verdana" w:hAnsi="Verdana" w:cs="Verdana" w:eastAsia="Verdana"/>
          <w:color w:val="000000"/>
          <w:spacing w:val="0"/>
          <w:position w:val="0"/>
          <w:sz w:val="20"/>
          <w:shd w:fill="auto" w:val="clear"/>
        </w:rPr>
        <w:t xml:space="preserve">Lesno Brdo castle the German troops took over the Italian zone. The children had to be moved, but where he could take them, Ithai wondered.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"You can take the children to Italy," a friendly Italian official told him. Arrangements were made and on July 18, 1942 the children were on their way to Italy. Ithai did not know how or where they would be living; he was simply told to take the train to Venice. Numb with fear, the older children held the hands of the younger as they boarded the train.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Mario Finzi, the head of the Jewish Relief Organization met them at the train station in Venice. He told Ithai that arrangements had been made for the children to live in Nonantola, a small farming village north of the city of Bologna.</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 Mario Finzi is another Jewish rescuer. Born in 1913 in Bologna, from an Italian Jewish family, he was a musician of great talent, graduated when he was only fifteen and won a prize from the Ministry of Education. Thereafter he began a successful musical career. At the same time, he studied Law, and was awarded his degree summa cum laude at the age of twenty.</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Only 24, Finzi was already a magistrate and a judge. In 1938 he began his legal career in Milan, but he was soon hampered by the Fascist racist laws promulgated in Italy that very year. (Wikipedia)</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"You'll be safe in Nonantola," Finzi assured him. He added: "With the help of the priests of the Abbey at Nonantola, arrangements have been made for the children to live in the Villa Emma, an empty mansion." Finzi also assured Ithai that the Jewish Relief Organization would pay their expenses. "You'll be able to set up a school program and the older boys and girls will be able to learn to farm," Finzi said.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How could Mario Finzi be so sure Ithai wondered? What would the villagers think about so many Jewish children coming to live in the small village? Few of them knew how to speak Italian. But his fears were quickly put to rest as soon as the train came to a stop in Nonantola. A group of friendly villagers were there to welcome them. They gave candies to the children and walked with them to the Villa Emma.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 large mansion was empty — without beds, chairs or tables. Women from the village brought food to the mansion and Father Arrigo Beccari came to greet them.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 tall priest in his cassock walked around the room shaking the children's hands. "You are safe now," he said. He could see the fear in their eyes and he wanted to reassure them. Josef Ithai spoke to Father Beccari: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"They've suffered so much and they need so much," he said. "They will not suffer any more," Father Beccari assured him. "You can be sure I'll do everything I can to help."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Ithai explained that since he wanted to prepare the children to live in Palestine, he thought it was important that the children keep up with their studies and learn to farm and build furniture. Father Beccari was also a teacher and promised to help Ithai set up the school program.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Dr. Giuseppe Moreali, the village doctor, came to the Villa to introduce himself and told Ithai he would take care of the children. The Jewish Relief Organization made the Villa Emma their headquarters where they set up a warehouse and supplied the funds to purchase food and other necessities. Beds, tables and chairs, blankets and sheets and other necessities were brought to the Villa. In a few weeks the mansion was transformed into a real home.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Village women came to help the older girls cook. A village carpenter came and built a bathroom, and showed the older boys how to make furniture. One room in the Villa was set up as a synagogue, and with Father Beccari's help, the children were kept busy with school work.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 children felt at home in Nonantola. They sang songs, played games, went on picnics and hikes and even put on little shows to entertain the village people who came to visit them. There was always something to do at the Villa Emma. The children felt safe again and were having fun.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"This situation is ideal and the children are adjusting very well. Some are even learning to speak Italian," Ithai told Father Beccari.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But after just one year of the idyllic life at the Villa, in September 1943, Italy was defeated by the British and Americans. No one in the village suspected that the German troops would take over northern Italy, but their worst fears were confirmed when Father Beccari saw the German army come into Nonantola. They set up a hospital for German soldiers across the street from the Villa Emma. A Nazi flag flew from its roof. The Villa Emma was no longer safe.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Father Beccari told Ithai to bring the children to the Abbey. He had heard that the Nazis were planning to arrest every Jew in Nonantola.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 children could not be kept together for there were too many. Father Beccari went from door to door in the village, and in the surrounding countryside asking people to hide the children. Most families were willing to help. Within a few hours all the older boys and girls had been hidden in homes in the village. The seminary took in the youngest children. The Villa Emma stood empty.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Still, it was not safe to keep the children in Nonantola. German soldiers were patrolling the village; someone might report the hidden children.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How will it be possible to save us now Ithai wondered. He knew the priests and the people hiding children were risking their lives. How much more could he ask of them? But he did not have to ask.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Monsignor Pilati, another priest of the village, and Dr. Moreali planned an escape route to Switzerland. Dr. Moreali obtained blank identification cards and Father Beccari filled them in with false names. Dr. Moreali signed the cards. Five weeks later, the children and young people were taken to the train station.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Dressed in the uniforms of Catholic school children, Father Beccari accompanied them to the train station. Josef Ithai shook Father Beccari's hand: "How can I ever thank you enough? You have saved our lives."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"You do not need to thank me. All I want is for the children to be safe," he answered simply. Father Beccari watched the children board the train.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 Swiss border was north and east of Nonantola. The children and their courageous chaperones had to change trains in Milan. The train that would take them to the border town did not leave until early the next morning. German soldiers were patrolling the train station.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Ithai took the children to an underground public washroom. They spent the night huddled together, unable to sleep. Early the next morning, they left the washroom and boarded a small train that took them through the mountainous country to the border town. Father Beccari had arranged for a local priest to meet them at the train station. He told Ithai they would have to walk the rest of the way.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 know the path very well, just follow me," he told them. The younger holding the hands of the older, the children hiked up a steep alpine path until they came to the Tresa River, a small alpine stream.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"We're going to have to walk across this stream. We'll all hold hands," the Swiss priest said. Like a human chain, Ithai took the children across the stream.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A Swiss guard came to meet them. Ithai showed the guard the identification papers Dr. Moreali had prepared and the guard let them enter Switzerland. Dr. Moreali knew people in Switzerland and he had arranged for the children to stay in Bex-Les-Bains, a small town. They lived in Bex-Les Bains until the end of the war.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After the war, Ithai was able to bring the children to the British Mandate of Palestine that was to become the State of Israel.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 children of Villa Emma never forgot Father Beccari, Dr. Moreali or the people of Nonantola. They planted one hundred trees in honor of the people of Nonantola and told everyone who would listen about Father Beccari, Monsignor Pilati, and Dr. Guiseppe Moreali. </w:t>
      </w:r>
    </w:p>
    <w:p>
      <w:pPr>
        <w:spacing w:before="0" w:after="135" w:line="360"/>
        <w:ind w:right="0" w:left="0" w:firstLine="0"/>
        <w:jc w:val="left"/>
        <w:rPr>
          <w:rFonts w:ascii="Verdana" w:hAnsi="Verdana" w:cs="Verdana" w:eastAsia="Verdana"/>
          <w:b/>
          <w:color w:val="000000"/>
          <w:spacing w:val="0"/>
          <w:position w:val="0"/>
          <w:sz w:val="20"/>
          <w:shd w:fill="auto" w:val="clear"/>
        </w:rPr>
      </w:pPr>
    </w:p>
    <w:p>
      <w:pPr>
        <w:spacing w:before="0" w:after="135" w:line="360"/>
        <w:ind w:right="0" w:left="0" w:firstLine="0"/>
        <w:jc w:val="left"/>
        <w:rPr>
          <w:rFonts w:ascii="Verdana" w:hAnsi="Verdana" w:cs="Verdana" w:eastAsia="Verdana"/>
          <w:b/>
          <w:color w:val="000000"/>
          <w:spacing w:val="0"/>
          <w:position w:val="0"/>
          <w:sz w:val="20"/>
          <w:shd w:fill="auto" w:val="clear"/>
        </w:rPr>
      </w:pP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ACKNOWLEDGEMENT</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Ithai, Josef, </w:t>
      </w:r>
      <w:r>
        <w:rPr>
          <w:rFonts w:ascii="Verdana" w:hAnsi="Verdana" w:cs="Verdana" w:eastAsia="Verdana"/>
          <w:i/>
          <w:color w:val="000000"/>
          <w:spacing w:val="0"/>
          <w:position w:val="0"/>
          <w:sz w:val="20"/>
          <w:shd w:fill="auto" w:val="clear"/>
        </w:rPr>
        <w:t xml:space="preserve">The Children of Villa Emma</w:t>
      </w:r>
      <w:r>
        <w:rPr>
          <w:rFonts w:ascii="Verdana" w:hAnsi="Verdana" w:cs="Verdana" w:eastAsia="Verdana"/>
          <w:color w:val="000000"/>
          <w:spacing w:val="0"/>
          <w:position w:val="0"/>
          <w:sz w:val="20"/>
          <w:shd w:fill="auto" w:val="clear"/>
        </w:rPr>
        <w:t xml:space="preserve"> (translated by Ivo Herzer) in </w:t>
      </w:r>
      <w:hyperlink xmlns:r="http://schemas.openxmlformats.org/officeDocument/2006/relationships" r:id="docRId0">
        <w:r>
          <w:rPr>
            <w:rFonts w:ascii="Verdana" w:hAnsi="Verdana" w:cs="Verdana" w:eastAsia="Verdana"/>
            <w:i/>
            <w:color w:val="0047B4"/>
            <w:spacing w:val="0"/>
            <w:position w:val="0"/>
            <w:sz w:val="20"/>
            <w:u w:val="single"/>
            <w:shd w:fill="auto" w:val="clear"/>
          </w:rPr>
          <w:t xml:space="preserve">The Italian Refuge: Rescue of Jews During The Holocaust</w:t>
        </w:r>
      </w:hyperlink>
      <w:r>
        <w:rPr>
          <w:rFonts w:ascii="Verdana" w:hAnsi="Verdana" w:cs="Verdana" w:eastAsia="Verdana"/>
          <w:color w:val="000000"/>
          <w:spacing w:val="0"/>
          <w:position w:val="0"/>
          <w:sz w:val="20"/>
          <w:shd w:fill="auto" w:val="clear"/>
        </w:rPr>
        <w:t xml:space="preserve"> (Ed) Ivo Hertzer, Washington, D.C. The Catholic University of America Press, 1987 </w:t>
      </w:r>
    </w:p>
    <w:p>
      <w:pPr>
        <w:spacing w:before="0" w:after="135" w:line="360"/>
        <w:ind w:right="0" w:left="0" w:firstLine="0"/>
        <w:jc w:val="left"/>
        <w:rPr>
          <w:rFonts w:ascii="Verdana" w:hAnsi="Verdana" w:cs="Verdana" w:eastAsia="Verdana"/>
          <w:color w:val="000000"/>
          <w:spacing w:val="0"/>
          <w:position w:val="0"/>
          <w:sz w:val="20"/>
          <w:shd w:fill="auto" w:val="clear"/>
        </w:rPr>
      </w:pP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Sally M. Rogow. "Don Arrigo Beccari: A Safe Haven In Villa Emma." </w:t>
      </w:r>
      <w:r>
        <w:rPr>
          <w:rFonts w:ascii="Verdana" w:hAnsi="Verdana" w:cs="Verdana" w:eastAsia="Verdana"/>
          <w:i/>
          <w:color w:val="000000"/>
          <w:spacing w:val="0"/>
          <w:position w:val="0"/>
          <w:sz w:val="20"/>
          <w:shd w:fill="auto" w:val="clear"/>
        </w:rPr>
        <w:t xml:space="preserve">Catholic Educator's Resource Center</w:t>
      </w:r>
      <w:r>
        <w:rPr>
          <w:rFonts w:ascii="Verdana" w:hAnsi="Verdana" w:cs="Verdana" w:eastAsia="Verdana"/>
          <w:color w:val="000000"/>
          <w:spacing w:val="0"/>
          <w:position w:val="0"/>
          <w:sz w:val="20"/>
          <w:shd w:fill="auto" w:val="clear"/>
        </w:rPr>
        <w:t xml:space="preserve"> (April, 2004). </w:t>
      </w:r>
      <w:hyperlink xmlns:r="http://schemas.openxmlformats.org/officeDocument/2006/relationships" r:id="docRId1">
        <w:r>
          <w:rPr>
            <w:rFonts w:ascii="Verdana" w:hAnsi="Verdana" w:cs="Verdana" w:eastAsia="Verdana"/>
            <w:color w:val="0000FF"/>
            <w:spacing w:val="0"/>
            <w:position w:val="0"/>
            <w:sz w:val="20"/>
            <w:u w:val="single"/>
            <w:shd w:fill="auto" w:val="clear"/>
          </w:rPr>
          <w:t xml:space="preserve">http://www.catholiceducation.org/articles/catholic_stories/cs0070.html</w:t>
        </w:r>
      </w:hyperlink>
    </w:p>
    <w:p>
      <w:pPr>
        <w:spacing w:before="0" w:after="135" w:line="360"/>
        <w:ind w:right="0" w:left="0" w:firstLine="0"/>
        <w:jc w:val="left"/>
        <w:rPr>
          <w:rFonts w:ascii="Verdana" w:hAnsi="Verdana" w:cs="Verdana" w:eastAsia="Verdana"/>
          <w:color w:val="000000"/>
          <w:spacing w:val="0"/>
          <w:position w:val="0"/>
          <w:sz w:val="20"/>
          <w:shd w:fill="auto" w:val="clear"/>
        </w:rPr>
      </w:pP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Father Beccari and Dr. Moreali were honored by the Yad Vashem, the Holocaust Memorial and documentation center in Israel for their heroic rescue work. But the Jewish hero, Josef Indig-Ithai, was never honored in any official way. </w:t>
      </w:r>
    </w:p>
    <w:p>
      <w:pPr>
        <w:spacing w:before="0" w:after="135" w:line="36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In a modest but impressive ceremony on the most recent Yom Hashoa – Holocaust Memorial day – in April 2012, Josef Indig-Ithai and Recha Freier were awarded posthumous recognition of their heroic efforts to save Jewish children. The ceremony took place at the </w:t>
      </w:r>
      <w:r>
        <w:rPr>
          <w:rFonts w:ascii="Verdana" w:hAnsi="Verdana" w:cs="Verdana" w:eastAsia="Verdana"/>
          <w:i/>
          <w:color w:val="000000"/>
          <w:spacing w:val="0"/>
          <w:position w:val="0"/>
          <w:sz w:val="20"/>
          <w:shd w:fill="auto" w:val="clear"/>
        </w:rPr>
        <w:t xml:space="preserve">Fire Scroll Memorial</w:t>
      </w:r>
      <w:r>
        <w:rPr>
          <w:rFonts w:ascii="Verdana" w:hAnsi="Verdana" w:cs="Verdana" w:eastAsia="Verdana"/>
          <w:color w:val="000000"/>
          <w:spacing w:val="0"/>
          <w:position w:val="0"/>
          <w:sz w:val="20"/>
          <w:shd w:fill="auto" w:val="clear"/>
        </w:rPr>
        <w:t xml:space="preserve"> in the hills surrounding Jerusalem and was organized by Bnei Brith Israel. Thus Bnei Brith has taken on the role of awarding recognition of Jewish Rescuers where no others have assumed it. </w:t>
      </w:r>
    </w:p>
    <w:p>
      <w:pPr>
        <w:spacing w:before="630" w:after="180" w:line="240"/>
        <w:ind w:right="0" w:left="0" w:firstLine="0"/>
        <w:jc w:val="left"/>
        <w:rPr>
          <w:rFonts w:ascii="Arial" w:hAnsi="Arial" w:cs="Arial" w:eastAsia="Arial"/>
          <w:b/>
          <w:color w:val="F88000"/>
          <w:spacing w:val="0"/>
          <w:position w:val="0"/>
          <w:sz w:val="28"/>
          <w:shd w:fill="auto" w:val="clear"/>
        </w:rPr>
      </w:pPr>
      <w:r>
        <w:rPr>
          <w:rFonts w:ascii="Arial" w:hAnsi="Arial" w:cs="Arial" w:eastAsia="Arial"/>
          <w:b/>
          <w:color w:val="F88000"/>
          <w:spacing w:val="0"/>
          <w:position w:val="0"/>
          <w:sz w:val="28"/>
          <w:shd w:fill="auto" w:val="clear"/>
        </w:rPr>
        <w:t xml:space="preserve">CONCLUSION – REFLECTION </w:t>
      </w:r>
    </w:p>
    <w:p>
      <w:pPr>
        <w:spacing w:before="630" w:after="180" w:line="36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Reflecting on the significance and the message of rescue in Europe of 1940-45 and Jewish rescue in particular, two things came to mind: a 1920 poem by the American poet Robert Frost, on the end of the world, and a mystical view on the meaning of existence in a post-destruction world summoned up by the Jewish mystic Isaac (ben Solomon) Luria Ashkenazi (1534 – 1572). His mystical view, the Lurianic mysticism of Safed,</w:t>
      </w:r>
      <w:r>
        <w:rPr>
          <w:rFonts w:ascii="Calibri" w:hAnsi="Calibri" w:cs="Calibri" w:eastAsia="Calibri"/>
          <w:color w:val="auto"/>
          <w:spacing w:val="0"/>
          <w:position w:val="0"/>
          <w:sz w:val="22"/>
          <w:shd w:fill="auto" w:val="clear"/>
        </w:rPr>
        <w:t xml:space="preserve"> </w:t>
      </w:r>
      <w:r>
        <w:rPr>
          <w:rFonts w:ascii="Verdana" w:hAnsi="Verdana" w:cs="Verdana" w:eastAsia="Verdana"/>
          <w:color w:val="auto"/>
          <w:spacing w:val="0"/>
          <w:position w:val="0"/>
          <w:sz w:val="20"/>
          <w:shd w:fill="auto" w:val="clear"/>
        </w:rPr>
        <w:t xml:space="preserve">is appealing because it calls on the individual to act for the betterment of the world. It speaks about a great cosmic disaster, when the divine light is withdrawn, thereby creating a vacuum. In the process, there is great destruction and evil is created. As I understand it, the task of the individual in this post-destruction world is to collect some of the pieces in the hope that sometime in the future the world will become whole again by joint effort. This is the duty of every human being </w:t>
      </w:r>
    </w:p>
    <w:p>
      <w:pPr>
        <w:spacing w:before="630" w:after="180" w:line="36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 so it is to be hoped– in life. Everyone contributes his or her small or large effort to the collective healing. It is called Tikun - Repair.</w:t>
      </w:r>
    </w:p>
    <w:p>
      <w:pPr>
        <w:spacing w:before="630" w:after="180" w:line="240"/>
        <w:ind w:right="0" w:left="0" w:firstLine="0"/>
        <w:jc w:val="left"/>
        <w:rPr>
          <w:rFonts w:ascii="Arial" w:hAnsi="Arial" w:cs="Arial" w:eastAsia="Arial"/>
          <w:b/>
          <w:color w:val="00B0F0"/>
          <w:spacing w:val="0"/>
          <w:position w:val="0"/>
          <w:sz w:val="28"/>
          <w:shd w:fill="auto" w:val="clear"/>
        </w:rPr>
      </w:pPr>
      <w:r>
        <w:rPr>
          <w:rFonts w:ascii="Arial" w:hAnsi="Arial" w:cs="Arial" w:eastAsia="Arial"/>
          <w:b/>
          <w:color w:val="FF0000"/>
          <w:spacing w:val="0"/>
          <w:position w:val="0"/>
          <w:sz w:val="28"/>
          <w:shd w:fill="auto" w:val="clear"/>
        </w:rPr>
        <w:t xml:space="preserve">Fire </w:t>
      </w:r>
      <w:r>
        <w:rPr>
          <w:rFonts w:ascii="Arial" w:hAnsi="Arial" w:cs="Arial" w:eastAsia="Arial"/>
          <w:b/>
          <w:color w:val="FFC000"/>
          <w:spacing w:val="0"/>
          <w:position w:val="0"/>
          <w:sz w:val="28"/>
          <w:shd w:fill="auto" w:val="clear"/>
        </w:rPr>
        <w:t xml:space="preserve">and </w:t>
      </w:r>
      <w:r>
        <w:rPr>
          <w:rFonts w:ascii="Arial" w:hAnsi="Arial" w:cs="Arial" w:eastAsia="Arial"/>
          <w:b/>
          <w:color w:val="00B0F0"/>
          <w:spacing w:val="0"/>
          <w:position w:val="0"/>
          <w:sz w:val="28"/>
          <w:shd w:fill="auto" w:val="clear"/>
        </w:rPr>
        <w:t xml:space="preserve">Ice</w:t>
      </w:r>
    </w:p>
    <w:p>
      <w:pPr>
        <w:spacing w:before="0" w:after="200" w:line="240"/>
        <w:ind w:right="0" w:left="0" w:firstLine="0"/>
        <w:jc w:val="left"/>
        <w:rPr>
          <w:rFonts w:ascii="Arial" w:hAnsi="Arial" w:cs="Arial" w:eastAsia="Arial"/>
          <w:color w:val="000000"/>
          <w:spacing w:val="0"/>
          <w:position w:val="0"/>
          <w:sz w:val="26"/>
          <w:shd w:fill="auto" w:val="clear"/>
        </w:rPr>
      </w:pPr>
    </w:p>
    <w:p>
      <w:pPr>
        <w:spacing w:before="0" w:after="200" w:line="240"/>
        <w:ind w:right="0" w:left="0" w:firstLine="0"/>
        <w:jc w:val="left"/>
        <w:rPr>
          <w:rFonts w:ascii="Arial" w:hAnsi="Arial" w:cs="Arial" w:eastAsia="Arial"/>
          <w:color w:val="333333"/>
          <w:spacing w:val="0"/>
          <w:position w:val="0"/>
          <w:sz w:val="21"/>
          <w:shd w:fill="auto" w:val="clear"/>
        </w:rPr>
      </w:pPr>
      <w:r>
        <w:rPr>
          <w:rFonts w:ascii="Arial" w:hAnsi="Arial" w:cs="Arial" w:eastAsia="Arial"/>
          <w:color w:val="000000"/>
          <w:spacing w:val="0"/>
          <w:position w:val="0"/>
          <w:sz w:val="26"/>
          <w:shd w:fill="auto" w:val="clear"/>
        </w:rPr>
        <w:t xml:space="preserve">Robert Frost, 1920</w:t>
      </w:r>
    </w:p>
    <w:p>
      <w:pPr>
        <w:spacing w:before="180" w:after="315" w:line="240"/>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Some say the world will end in fire,</w:t>
      </w:r>
    </w:p>
    <w:p>
      <w:pPr>
        <w:spacing w:before="180" w:after="315" w:line="240"/>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Some say in ice.</w:t>
        <w:br/>
      </w:r>
    </w:p>
    <w:p>
      <w:pPr>
        <w:spacing w:before="180" w:after="315" w:line="240"/>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From what I've tasted of desire</w:t>
        <w:br/>
      </w:r>
    </w:p>
    <w:p>
      <w:pPr>
        <w:spacing w:before="180" w:after="315" w:line="240"/>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I hold with those who favor fire.</w:t>
        <w:br/>
      </w:r>
    </w:p>
    <w:p>
      <w:pPr>
        <w:spacing w:before="180" w:after="315" w:line="240"/>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But if it had to perish twice,</w:t>
        <w:br/>
      </w:r>
    </w:p>
    <w:p>
      <w:pPr>
        <w:spacing w:before="180" w:after="315" w:line="240"/>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I think I know enough of hate</w:t>
        <w:br/>
      </w:r>
    </w:p>
    <w:p>
      <w:pPr>
        <w:spacing w:before="180" w:after="315" w:line="240"/>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To say that for destruction ice</w:t>
        <w:br/>
      </w:r>
    </w:p>
    <w:p>
      <w:pPr>
        <w:spacing w:before="180" w:after="315" w:line="240"/>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Is also great</w:t>
        <w:br/>
      </w:r>
    </w:p>
    <w:p>
      <w:pPr>
        <w:spacing w:before="180" w:after="315" w:line="240"/>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And would suffice. </w:t>
      </w:r>
    </w:p>
    <w:p>
      <w:pPr>
        <w:spacing w:before="0" w:after="200" w:line="240"/>
        <w:ind w:right="0" w:left="0" w:firstLine="0"/>
        <w:jc w:val="left"/>
        <w:rPr>
          <w:rFonts w:ascii="Arial" w:hAnsi="Arial" w:cs="Arial" w:eastAsia="Arial"/>
          <w:color w:val="000000"/>
          <w:spacing w:val="0"/>
          <w:position w:val="0"/>
          <w:sz w:val="26"/>
          <w:shd w:fill="auto" w:val="clear"/>
        </w:rPr>
      </w:pPr>
    </w:p>
    <w:p>
      <w:pPr>
        <w:spacing w:before="0" w:after="200" w:line="240"/>
        <w:ind w:right="0" w:left="0" w:firstLine="0"/>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If one sets side by side Robert Frost’s poem with its dark foreboding and Luria’s mystical belief in the possibility of Tikun or Repair after destruction, we have, I think, a conceptual framework for the rescue of Jews in general and rescue of Jews by Jews in the 20</w:t>
      </w:r>
      <w:r>
        <w:rPr>
          <w:rFonts w:ascii="Arial" w:hAnsi="Arial" w:cs="Arial" w:eastAsia="Arial"/>
          <w:color w:val="000000"/>
          <w:spacing w:val="0"/>
          <w:position w:val="0"/>
          <w:sz w:val="26"/>
          <w:shd w:fill="auto" w:val="clear"/>
          <w:vertAlign w:val="superscript"/>
        </w:rPr>
        <w:t xml:space="preserve">th</w:t>
      </w:r>
      <w:r>
        <w:rPr>
          <w:rFonts w:ascii="Arial" w:hAnsi="Arial" w:cs="Arial" w:eastAsia="Arial"/>
          <w:color w:val="000000"/>
          <w:spacing w:val="0"/>
          <w:position w:val="0"/>
          <w:sz w:val="26"/>
          <w:shd w:fill="auto" w:val="clear"/>
        </w:rPr>
        <w:t xml:space="preserve"> century in particular.</w:t>
      </w:r>
    </w:p>
    <w:p>
      <w:pPr>
        <w:spacing w:before="0" w:after="200" w:line="240"/>
        <w:ind w:right="0" w:left="0" w:firstLine="0"/>
        <w:jc w:val="left"/>
        <w:rPr>
          <w:rFonts w:ascii="Arial" w:hAnsi="Arial" w:cs="Arial" w:eastAsia="Arial"/>
          <w:color w:val="000000"/>
          <w:spacing w:val="0"/>
          <w:position w:val="0"/>
          <w:sz w:val="26"/>
          <w:shd w:fill="auto" w:val="clear"/>
        </w:rPr>
      </w:pPr>
    </w:p>
    <w:p>
      <w:pPr>
        <w:spacing w:before="0" w:after="200" w:line="240"/>
        <w:ind w:right="0" w:left="0" w:firstLine="0"/>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Aleida Chana Arnon-Benninga</w:t>
      </w:r>
    </w:p>
    <w:p>
      <w:pPr>
        <w:spacing w:before="0" w:after="200" w:line="240"/>
        <w:ind w:right="0" w:left="0" w:firstLine="0"/>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Jerusalem, June 2012</w:t>
      </w:r>
    </w:p>
    <w:p>
      <w:pPr>
        <w:spacing w:before="0" w:after="200" w:line="240"/>
        <w:ind w:right="0" w:left="0" w:firstLine="0"/>
        <w:jc w:val="left"/>
        <w:rPr>
          <w:rFonts w:ascii="Arial" w:hAnsi="Arial" w:cs="Arial" w:eastAsia="Arial"/>
          <w:color w:val="000000"/>
          <w:spacing w:val="0"/>
          <w:position w:val="0"/>
          <w:sz w:val="26"/>
          <w:shd w:fill="auto" w:val="clear"/>
        </w:rPr>
      </w:pPr>
    </w:p>
    <w:p>
      <w:pPr>
        <w:spacing w:before="0" w:after="200" w:line="276"/>
        <w:ind w:right="0" w:left="0" w:firstLine="0"/>
        <w:jc w:val="center"/>
        <w:rPr>
          <w:rFonts w:ascii="Calibri" w:hAnsi="Calibri" w:cs="Calibri" w:eastAsia="Calibri"/>
          <w:b/>
          <w:color w:val="auto"/>
          <w:spacing w:val="0"/>
          <w:position w:val="0"/>
          <w:sz w:val="28"/>
          <w:u w:val="single"/>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8"/>
          <w:u w:val="single"/>
          <w:shd w:fill="auto" w:val="clear"/>
        </w:rPr>
        <w:t xml:space="preserve">My own background: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was born on February 18, 1939, in Leeuwarden, the Netherlands. My full maiden name is Aleida Chana Benninga. My family was Ashkenazi Dutch and hailed from the province of Groningen in the North-East of the Netherlands. They had been living in this area since the seventeenth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May 1940, my parents and I fled from Holland through the port of Ijmuiden to England, taking my maternal grandmother with us. From England we sailed in August 1940 to – more or less – “destination unknown”. We ended up in the Dutch East Indies (now called Indonesia), on the island of Java. Here we, being Dutch citizens, were imprisoned by the Japanese in April 1943 and stayed in internment camps until the Japanese capitulated in August 1945. We were repatriated to the Netherlands in February 1946. In August 1954, my father, a chemistry PhD, was appointed the head of production in a Dutch owned nylon producing plant in Enka, North Carolina. My parents lived in nearby Asheville, N.C., for the next forty years; but I came to Israel as an exchange student in 1958 and have been living there ever since. I am married to Naftali Arnon and we have four children and ten grandchildren. </w:t>
      </w:r>
    </w:p>
    <w:p>
      <w:pPr>
        <w:spacing w:before="0" w:after="200" w:line="240"/>
        <w:ind w:right="0" w:left="0" w:firstLine="0"/>
        <w:jc w:val="left"/>
        <w:rPr>
          <w:rFonts w:ascii="Arial" w:hAnsi="Arial" w:cs="Arial" w:eastAsia="Arial"/>
          <w:color w:val="000000"/>
          <w:spacing w:val="0"/>
          <w:position w:val="0"/>
          <w:sz w:val="26"/>
          <w:shd w:fill="auto" w:val="clear"/>
        </w:rPr>
      </w:pPr>
    </w:p>
    <w:p>
      <w:pPr>
        <w:spacing w:before="0" w:after="200" w:line="276"/>
        <w:ind w:right="0" w:left="0" w:firstLine="0"/>
        <w:jc w:val="both"/>
        <w:rPr>
          <w:rFonts w:ascii="Calibri" w:hAnsi="Calibri" w:cs="Calibri" w:eastAsia="Calibri"/>
          <w:color w:val="auto"/>
          <w:spacing w:val="0"/>
          <w:position w:val="0"/>
          <w:sz w:val="32"/>
          <w:shd w:fill="auto" w:val="clear"/>
        </w:rPr>
      </w:pPr>
    </w:p>
    <w:p>
      <w:pPr>
        <w:spacing w:before="0" w:after="200" w:line="360"/>
        <w:ind w:right="0" w:left="0" w:firstLine="0"/>
        <w:jc w:val="left"/>
        <w:rPr>
          <w:rFonts w:ascii="Verdana" w:hAnsi="Verdana" w:cs="Verdana" w:eastAsia="Verdana"/>
          <w:color w:val="000000"/>
          <w:spacing w:val="0"/>
          <w:position w:val="0"/>
          <w:sz w:val="20"/>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360"/>
        <w:ind w:right="0" w:left="0" w:firstLine="0"/>
        <w:jc w:val="left"/>
        <w:rPr>
          <w:rFonts w:ascii="Verdana" w:hAnsi="Verdana" w:cs="Verdana" w:eastAsia="Verdana"/>
          <w:color w:val="000000"/>
          <w:spacing w:val="0"/>
          <w:position w:val="0"/>
          <w:sz w:val="20"/>
          <w:shd w:fill="auto" w:val="clear"/>
        </w:rPr>
      </w:pPr>
    </w:p>
    <w:p>
      <w:pPr>
        <w:spacing w:before="0" w:after="200" w:line="36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Arial" w:hAnsi="Arial" w:cs="Arial" w:eastAsia="Arial"/>
          <w:color w:val="000000"/>
          <w:spacing w:val="0"/>
          <w:position w:val="0"/>
          <w:sz w:val="26"/>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amazon.com/exec/obidos/redirect?tag=catholiceduca-20&amp;path=tg/detail/-/0813207126%3Fv%3Dglance" Id="docRId0" Type="http://schemas.openxmlformats.org/officeDocument/2006/relationships/hyperlink"/><Relationship TargetMode="External" Target="http://www.catholiceducation.org/articles/catholic_stories/cs0070.html"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